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BD44A" w14:textId="77777777" w:rsidR="00DF0B36" w:rsidRPr="000F5F80" w:rsidRDefault="00DF0B36" w:rsidP="008A0ED3">
      <w:pPr>
        <w:spacing w:line="360" w:lineRule="auto"/>
        <w:jc w:val="center"/>
        <w:rPr>
          <w:rFonts w:ascii="Arial" w:hAnsi="Arial" w:cs="Arial"/>
          <w:b/>
          <w:bCs/>
          <w:u w:val="single"/>
        </w:rPr>
      </w:pPr>
      <w:r w:rsidRPr="000F5F80">
        <w:rPr>
          <w:rFonts w:ascii="Arial" w:hAnsi="Arial" w:cs="Arial"/>
          <w:b/>
          <w:bCs/>
          <w:u w:val="single"/>
        </w:rPr>
        <w:t>Aspiring Leadership Fellowship: Interim Report</w:t>
      </w:r>
    </w:p>
    <w:p w14:paraId="5C5DA8C6" w14:textId="55734D6C" w:rsidR="000F5F80" w:rsidRPr="000F5F80" w:rsidRDefault="000F5F80" w:rsidP="008A0ED3">
      <w:pPr>
        <w:spacing w:line="360" w:lineRule="auto"/>
        <w:ind w:left="-567"/>
        <w:jc w:val="center"/>
        <w:rPr>
          <w:rFonts w:ascii="Arial" w:hAnsi="Arial" w:cs="Arial"/>
          <w:b/>
          <w:bCs/>
          <w:u w:val="single"/>
        </w:rPr>
      </w:pPr>
      <w:r w:rsidRPr="000F5F80">
        <w:rPr>
          <w:rFonts w:ascii="Arial" w:hAnsi="Arial" w:cs="Arial"/>
          <w:b/>
          <w:bCs/>
          <w:u w:val="single"/>
        </w:rPr>
        <w:t>Dr Sing Khien</w:t>
      </w:r>
      <w:r w:rsidR="00D32189">
        <w:rPr>
          <w:rFonts w:ascii="Arial" w:hAnsi="Arial" w:cs="Arial"/>
          <w:b/>
          <w:bCs/>
          <w:u w:val="single"/>
        </w:rPr>
        <w:t xml:space="preserve"> Tiong</w:t>
      </w:r>
    </w:p>
    <w:p w14:paraId="0B591ABC" w14:textId="77777777" w:rsidR="000F5F80" w:rsidRPr="000F5F80" w:rsidRDefault="000F5F80" w:rsidP="008A0ED3">
      <w:pPr>
        <w:pStyle w:val="Default"/>
        <w:spacing w:line="360" w:lineRule="auto"/>
        <w:jc w:val="both"/>
        <w:rPr>
          <w:rFonts w:ascii="Arial" w:hAnsi="Arial" w:cs="Arial"/>
          <w:sz w:val="22"/>
          <w:szCs w:val="22"/>
        </w:rPr>
      </w:pPr>
    </w:p>
    <w:p w14:paraId="746364A7" w14:textId="77777777" w:rsidR="000F5F80" w:rsidRP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 </w:t>
      </w:r>
      <w:r w:rsidRPr="000F5F80">
        <w:rPr>
          <w:rFonts w:ascii="Arial" w:hAnsi="Arial" w:cs="Arial"/>
          <w:b/>
          <w:bCs/>
          <w:sz w:val="22"/>
          <w:szCs w:val="22"/>
        </w:rPr>
        <w:t xml:space="preserve">Project 1: Innovate UK Obesity Pathway Innovation Programme (OPIP) </w:t>
      </w:r>
    </w:p>
    <w:p w14:paraId="24194A03" w14:textId="77777777" w:rsid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In November 2025, just weeks into my fellowship, I joined the CW ICB's OPIP bid-writing team with only three weeks before the submission deadline. My role centred on primary care clinical input, requiring rapid assimilation of material across policy, service design, population health and digital innovation. </w:t>
      </w:r>
    </w:p>
    <w:p w14:paraId="19FBDEC6" w14:textId="77777777" w:rsidR="008A0ED3" w:rsidRPr="000F5F80" w:rsidRDefault="008A0ED3" w:rsidP="008A0ED3">
      <w:pPr>
        <w:pStyle w:val="Default"/>
        <w:spacing w:line="360" w:lineRule="auto"/>
        <w:jc w:val="both"/>
        <w:rPr>
          <w:rFonts w:ascii="Arial" w:hAnsi="Arial" w:cs="Arial"/>
          <w:sz w:val="22"/>
          <w:szCs w:val="22"/>
        </w:rPr>
      </w:pPr>
    </w:p>
    <w:p w14:paraId="79392BEE" w14:textId="77777777" w:rsidR="000F5F80" w:rsidRP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CW-OPIP applies for up to £8 million over 35 months to support over 60,000 patients. Its core innovation is a single integrated obesity pathway combining a universal digital platform, neighbourhood lifestyle groups via health coaches, a community tirzepatide prescribing service, community-based Tier 3 MDT outreach via a mobile 'ThisBusCan' clinic, and digital inclusion support through #CovConnects. It also includes England's first household-based and occupational obesity interventions targeting major employers including JLR and Amazon, with independent evaluation by Warwick Business School. CW ICB has since been shortlisted nationally. The outcome is awaited with optimism. </w:t>
      </w:r>
    </w:p>
    <w:p w14:paraId="2157374F" w14:textId="77777777" w:rsid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Working alongside ICB executives, pharmacy and public health while navigating significant imposter syndrome was among the most formative experiences of the fellowship, requiring me to contribute clinically with confidence, find my voice quickly within a senior system context, and engage meaningfully with disciplines well beyond my day-to-day general practice experience. </w:t>
      </w:r>
    </w:p>
    <w:p w14:paraId="427293BA" w14:textId="77777777" w:rsidR="008A0ED3" w:rsidRPr="000F5F80" w:rsidRDefault="008A0ED3" w:rsidP="008A0ED3">
      <w:pPr>
        <w:pStyle w:val="Default"/>
        <w:spacing w:line="360" w:lineRule="auto"/>
        <w:jc w:val="both"/>
        <w:rPr>
          <w:rFonts w:ascii="Arial" w:hAnsi="Arial" w:cs="Arial"/>
          <w:sz w:val="22"/>
          <w:szCs w:val="22"/>
        </w:rPr>
      </w:pPr>
    </w:p>
    <w:p w14:paraId="29F19044" w14:textId="77777777" w:rsid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This work has sharpened my awareness of a critical system gap: neither OPIP nor PCWMS defines a funded post-discharge pathway back to general practice. Both programmes discharge patients to their GP with clinical notes and self-management advice, but without ring-fenced resource or a monitoring framework. This was powerfully echoed at the Digital Prescribing Focus Group (26 February 2026), where GPs expressed deep concern, not about the medicines, but about the unfunded transfer of chronic care responsibility. This is a system risk I intend to continue raising. </w:t>
      </w:r>
    </w:p>
    <w:p w14:paraId="70E34FF5" w14:textId="77777777" w:rsidR="008A0ED3" w:rsidRDefault="008A0ED3" w:rsidP="008A0ED3">
      <w:pPr>
        <w:pStyle w:val="Default"/>
        <w:spacing w:line="360" w:lineRule="auto"/>
        <w:jc w:val="both"/>
        <w:rPr>
          <w:rFonts w:ascii="Arial" w:hAnsi="Arial" w:cs="Arial"/>
          <w:sz w:val="22"/>
          <w:szCs w:val="22"/>
        </w:rPr>
      </w:pPr>
    </w:p>
    <w:p w14:paraId="33384DE1" w14:textId="77777777" w:rsidR="000F5F80" w:rsidRPr="000F5F80" w:rsidRDefault="000F5F80" w:rsidP="008A0ED3">
      <w:pPr>
        <w:pStyle w:val="Default"/>
        <w:spacing w:line="360" w:lineRule="auto"/>
        <w:jc w:val="both"/>
        <w:rPr>
          <w:rFonts w:ascii="Arial" w:hAnsi="Arial" w:cs="Arial"/>
          <w:sz w:val="22"/>
          <w:szCs w:val="22"/>
        </w:rPr>
      </w:pPr>
      <w:r w:rsidRPr="000F5F80">
        <w:rPr>
          <w:rFonts w:ascii="Arial" w:hAnsi="Arial" w:cs="Arial"/>
          <w:b/>
          <w:bCs/>
          <w:sz w:val="22"/>
          <w:szCs w:val="22"/>
        </w:rPr>
        <w:t xml:space="preserve">Project 2: Primary Care Weight Management Service (PCWMS) </w:t>
      </w:r>
    </w:p>
    <w:p w14:paraId="12108E07" w14:textId="77777777" w:rsid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Inherited from my predecessor fellow, PCWMS reached final contracting stage in February 2026, with the contract awarded to IPC via South Warwickshire Federation. The service sits between Tier 2 local authority services and specialist Tier 3 and 4 SWMS provision, which is effectively a new tier. It operates as a non-referral, case-finding service using ICB data </w:t>
      </w:r>
      <w:r w:rsidRPr="000F5F80">
        <w:rPr>
          <w:rFonts w:ascii="Arial" w:hAnsi="Arial" w:cs="Arial"/>
          <w:sz w:val="22"/>
          <w:szCs w:val="22"/>
        </w:rPr>
        <w:lastRenderedPageBreak/>
        <w:t xml:space="preserve">intelligence to identify Cohort 1 patients: those with BMI over 40 and four or more qualifying comorbidities including cardiovascular disease, hypertension, dyslipidaemia, obstructive sleep apnoea and Type 2 diabetes. </w:t>
      </w:r>
    </w:p>
    <w:p w14:paraId="51087CCD" w14:textId="77777777" w:rsidR="008A0ED3" w:rsidRPr="000F5F80" w:rsidRDefault="008A0ED3" w:rsidP="008A0ED3">
      <w:pPr>
        <w:pStyle w:val="Default"/>
        <w:spacing w:line="360" w:lineRule="auto"/>
        <w:jc w:val="both"/>
        <w:rPr>
          <w:rFonts w:ascii="Arial" w:hAnsi="Arial" w:cs="Arial"/>
          <w:sz w:val="22"/>
          <w:szCs w:val="22"/>
        </w:rPr>
      </w:pPr>
    </w:p>
    <w:p w14:paraId="20255B7E" w14:textId="77777777" w:rsid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The service prescribes and monitors tirzepatide with monthly titration reviews, structured six and twelve-month assessments, and Blueteq approval at key milestones. My role is now oversight and review, focused on governance, stopping rules, workload impact on practices and pathway drift, while remaining alert to interface gaps between OPIP and PCWMS around patient eligibility, referral routes and post-discharge responsibility. </w:t>
      </w:r>
    </w:p>
    <w:p w14:paraId="3401D3C8" w14:textId="77777777" w:rsidR="000F5F80" w:rsidRPr="000F5F80" w:rsidRDefault="000F5F80" w:rsidP="008A0ED3">
      <w:pPr>
        <w:pStyle w:val="Default"/>
        <w:spacing w:line="360" w:lineRule="auto"/>
        <w:jc w:val="both"/>
        <w:rPr>
          <w:rFonts w:ascii="Arial" w:hAnsi="Arial" w:cs="Arial"/>
          <w:sz w:val="22"/>
          <w:szCs w:val="22"/>
        </w:rPr>
      </w:pPr>
    </w:p>
    <w:p w14:paraId="5433A60C" w14:textId="77777777" w:rsidR="000F5F80" w:rsidRPr="000F5F80" w:rsidRDefault="000F5F80" w:rsidP="008A0ED3">
      <w:pPr>
        <w:pStyle w:val="Default"/>
        <w:spacing w:line="360" w:lineRule="auto"/>
        <w:jc w:val="both"/>
        <w:rPr>
          <w:rFonts w:ascii="Arial" w:hAnsi="Arial" w:cs="Arial"/>
          <w:sz w:val="22"/>
          <w:szCs w:val="22"/>
        </w:rPr>
      </w:pPr>
      <w:r w:rsidRPr="000F5F80">
        <w:rPr>
          <w:rFonts w:ascii="Arial" w:hAnsi="Arial" w:cs="Arial"/>
          <w:b/>
          <w:bCs/>
          <w:sz w:val="22"/>
          <w:szCs w:val="22"/>
        </w:rPr>
        <w:t xml:space="preserve">Project 3: Single Digital Capability Platform (Future Skills) </w:t>
      </w:r>
    </w:p>
    <w:p w14:paraId="34FDB080" w14:textId="3E6C06BD" w:rsid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My most substantive and self-directed project. Working with the Training Hub, IPC Digital Champions and PCN Boards, I developed a concept for a single digital capability platform for the primary care workforce, structured around a Bronze, Silver and Gold pyramid by staff role. Between February and March 2026, I engaged across six formal stakeholder meetings, presented at the IPC Digital Champions event, Rugby PCN Board and Training Hub GP lunchtime session, and produced a nine-section concept document, two questionnaires and a ten-slide summary. The pivotal outcome was persuading the full group, including Sue Phillips (Training Hub COO) and Chris Beyer (IPC Head) to adopt a platform-first approach, with Bytesize sessions repositioned as Phase 2. Chris Beyer agreed to take the proposal to the IPC Board. A Train the Trainer session was confirmed for 30 March, comms to be released via the May newsletter, and the aim delivery date of autumn 2026. The project aligns to Workforce Priority 5 of the CW Primary</w:t>
      </w:r>
      <w:r>
        <w:rPr>
          <w:rFonts w:ascii="Arial" w:hAnsi="Arial" w:cs="Arial"/>
          <w:sz w:val="22"/>
          <w:szCs w:val="22"/>
        </w:rPr>
        <w:t xml:space="preserve"> </w:t>
      </w:r>
      <w:r w:rsidRPr="000F5F80">
        <w:rPr>
          <w:rFonts w:ascii="Arial" w:hAnsi="Arial" w:cs="Arial"/>
          <w:sz w:val="22"/>
          <w:szCs w:val="22"/>
        </w:rPr>
        <w:t xml:space="preserve">Care People Plan and the NHS 10 Year Plan's shift from analogue to digital. </w:t>
      </w:r>
    </w:p>
    <w:p w14:paraId="6EA284CB" w14:textId="77777777" w:rsidR="000F5F80" w:rsidRDefault="000F5F80" w:rsidP="008A0ED3">
      <w:pPr>
        <w:pStyle w:val="Default"/>
        <w:spacing w:line="360" w:lineRule="auto"/>
        <w:jc w:val="both"/>
        <w:rPr>
          <w:rFonts w:ascii="Arial" w:hAnsi="Arial" w:cs="Arial"/>
          <w:b/>
          <w:bCs/>
          <w:sz w:val="22"/>
          <w:szCs w:val="22"/>
        </w:rPr>
      </w:pPr>
    </w:p>
    <w:p w14:paraId="0368F5B8" w14:textId="0A79684A" w:rsidR="000F5F80" w:rsidRPr="000F5F80" w:rsidRDefault="000F5F80" w:rsidP="008A0ED3">
      <w:pPr>
        <w:pStyle w:val="Default"/>
        <w:spacing w:line="360" w:lineRule="auto"/>
        <w:jc w:val="both"/>
        <w:rPr>
          <w:rFonts w:ascii="Arial" w:hAnsi="Arial" w:cs="Arial"/>
          <w:sz w:val="22"/>
          <w:szCs w:val="22"/>
        </w:rPr>
      </w:pPr>
      <w:r w:rsidRPr="000F5F80">
        <w:rPr>
          <w:rFonts w:ascii="Arial" w:hAnsi="Arial" w:cs="Arial"/>
          <w:b/>
          <w:bCs/>
          <w:sz w:val="22"/>
          <w:szCs w:val="22"/>
        </w:rPr>
        <w:t xml:space="preserve">What I Have Gained </w:t>
      </w:r>
    </w:p>
    <w:p w14:paraId="6CA757CD" w14:textId="77777777" w:rsidR="000F5F80" w:rsidRP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The fellowship has accelerated my development as a clinical leader in ways I had not anticipated. Through the Future Leaders Programme, I completed Insights Discovery profiling and a 1-to-1 debrief, gaining a clearer and more structured picture of my leadership style and how to adapt my approach across different stakeholders and environments. Two mentoring sessions reinforced the importance of speaking up in the moment rather than holding back, a tendency I have actively addressed and one that has become noticeably easier as the fellowship has progressed. </w:t>
      </w:r>
    </w:p>
    <w:p w14:paraId="6AE04A02" w14:textId="77777777" w:rsid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Presenting at PCN Board level, persuading senior system leaders, and contributing clinical input into a nationally competitive bid have each stretched my confidence in ways general practice alone would not. Engagement with the AI and digital agenda, through the Heidi AI </w:t>
      </w:r>
      <w:r w:rsidRPr="000F5F80">
        <w:rPr>
          <w:rFonts w:ascii="Arial" w:hAnsi="Arial" w:cs="Arial"/>
          <w:sz w:val="22"/>
          <w:szCs w:val="22"/>
        </w:rPr>
        <w:lastRenderedPageBreak/>
        <w:t xml:space="preserve">workshop, Digital Champions meetings, the Ambient Voice Technology Procurement Group and the Digital Prescribing Focus Group, has deepened my understanding of digital transformation and affirmed this as a strategic leadership interest I will develop further through formal CPD. </w:t>
      </w:r>
    </w:p>
    <w:p w14:paraId="27CAC093" w14:textId="77777777" w:rsidR="000F5F80" w:rsidRPr="000F5F80" w:rsidRDefault="000F5F80" w:rsidP="008A0ED3">
      <w:pPr>
        <w:pStyle w:val="Default"/>
        <w:spacing w:line="360" w:lineRule="auto"/>
        <w:jc w:val="both"/>
        <w:rPr>
          <w:rFonts w:ascii="Arial" w:hAnsi="Arial" w:cs="Arial"/>
          <w:sz w:val="22"/>
          <w:szCs w:val="22"/>
        </w:rPr>
      </w:pPr>
    </w:p>
    <w:p w14:paraId="3984165A" w14:textId="19426353" w:rsidR="000F5F80" w:rsidRPr="000F5F80" w:rsidRDefault="000F5F80" w:rsidP="008A0ED3">
      <w:pPr>
        <w:pStyle w:val="Default"/>
        <w:spacing w:line="360" w:lineRule="auto"/>
        <w:jc w:val="both"/>
        <w:rPr>
          <w:rFonts w:ascii="Arial" w:hAnsi="Arial" w:cs="Arial"/>
          <w:sz w:val="22"/>
          <w:szCs w:val="22"/>
        </w:rPr>
      </w:pPr>
      <w:r w:rsidRPr="000F5F80">
        <w:rPr>
          <w:rFonts w:ascii="Arial" w:hAnsi="Arial" w:cs="Arial"/>
          <w:b/>
          <w:bCs/>
          <w:sz w:val="22"/>
          <w:szCs w:val="22"/>
        </w:rPr>
        <w:t xml:space="preserve">Looking Ahead — The Next Six Months </w:t>
      </w:r>
    </w:p>
    <w:p w14:paraId="1B5A5CA1" w14:textId="77777777" w:rsidR="000F5F80" w:rsidRP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In the second half of my fellowship, my priorities are: </w:t>
      </w:r>
    </w:p>
    <w:p w14:paraId="74A04F79" w14:textId="77777777" w:rsidR="000F5F80" w:rsidRPr="000F5F80" w:rsidRDefault="000F5F80" w:rsidP="008A0ED3">
      <w:pPr>
        <w:pStyle w:val="Default"/>
        <w:numPr>
          <w:ilvl w:val="0"/>
          <w:numId w:val="2"/>
        </w:numPr>
        <w:spacing w:after="78" w:line="360" w:lineRule="auto"/>
        <w:jc w:val="both"/>
        <w:rPr>
          <w:rFonts w:ascii="Arial" w:hAnsi="Arial" w:cs="Arial"/>
          <w:sz w:val="22"/>
          <w:szCs w:val="22"/>
        </w:rPr>
      </w:pPr>
      <w:r w:rsidRPr="000F5F80">
        <w:rPr>
          <w:rFonts w:ascii="Arial" w:hAnsi="Arial" w:cs="Arial"/>
          <w:sz w:val="22"/>
          <w:szCs w:val="22"/>
        </w:rPr>
        <w:t xml:space="preserve">Drive the Digital Capability Platform toward implementation — supporting Training Hub communications, progressing IPC Board approval and contributing to launch planning. </w:t>
      </w:r>
    </w:p>
    <w:p w14:paraId="4515BDA2" w14:textId="77777777" w:rsidR="000F5F80" w:rsidRPr="000F5F80" w:rsidRDefault="000F5F80" w:rsidP="008A0ED3">
      <w:pPr>
        <w:pStyle w:val="Default"/>
        <w:numPr>
          <w:ilvl w:val="0"/>
          <w:numId w:val="2"/>
        </w:numPr>
        <w:spacing w:after="78" w:line="360" w:lineRule="auto"/>
        <w:jc w:val="both"/>
        <w:rPr>
          <w:rFonts w:ascii="Arial" w:hAnsi="Arial" w:cs="Arial"/>
          <w:sz w:val="22"/>
          <w:szCs w:val="22"/>
        </w:rPr>
      </w:pPr>
      <w:r w:rsidRPr="000F5F80">
        <w:rPr>
          <w:rFonts w:ascii="Arial" w:hAnsi="Arial" w:cs="Arial"/>
          <w:sz w:val="22"/>
          <w:szCs w:val="22"/>
        </w:rPr>
        <w:t xml:space="preserve">Provide ongoing oversight of PCWMS — monitoring governance, workload impact, stopping rules and pathway drift, and raising the post-discharge gap with commissioners where appropriate. </w:t>
      </w:r>
    </w:p>
    <w:p w14:paraId="6E18C03F" w14:textId="77777777" w:rsidR="000F5F80" w:rsidRPr="000F5F80" w:rsidRDefault="000F5F80" w:rsidP="008A0ED3">
      <w:pPr>
        <w:pStyle w:val="Default"/>
        <w:numPr>
          <w:ilvl w:val="0"/>
          <w:numId w:val="2"/>
        </w:numPr>
        <w:spacing w:after="78" w:line="360" w:lineRule="auto"/>
        <w:jc w:val="both"/>
        <w:rPr>
          <w:rFonts w:ascii="Arial" w:hAnsi="Arial" w:cs="Arial"/>
          <w:sz w:val="22"/>
          <w:szCs w:val="22"/>
        </w:rPr>
      </w:pPr>
      <w:r w:rsidRPr="000F5F80">
        <w:rPr>
          <w:rFonts w:ascii="Arial" w:hAnsi="Arial" w:cs="Arial"/>
          <w:sz w:val="22"/>
          <w:szCs w:val="22"/>
        </w:rPr>
        <w:t xml:space="preserve">Support OPIP digital provider procurement, mobilisation, maintaining primary care clinical input and contributing to a clearer GP handback framework. </w:t>
      </w:r>
    </w:p>
    <w:p w14:paraId="46942D45" w14:textId="77777777" w:rsidR="000F5F80" w:rsidRPr="000F5F80" w:rsidRDefault="000F5F80" w:rsidP="008A0ED3">
      <w:pPr>
        <w:pStyle w:val="Default"/>
        <w:numPr>
          <w:ilvl w:val="0"/>
          <w:numId w:val="2"/>
        </w:numPr>
        <w:spacing w:after="78" w:line="360" w:lineRule="auto"/>
        <w:jc w:val="both"/>
        <w:rPr>
          <w:rFonts w:ascii="Arial" w:hAnsi="Arial" w:cs="Arial"/>
          <w:sz w:val="22"/>
          <w:szCs w:val="22"/>
        </w:rPr>
      </w:pPr>
      <w:r w:rsidRPr="000F5F80">
        <w:rPr>
          <w:rFonts w:ascii="Arial" w:hAnsi="Arial" w:cs="Arial"/>
          <w:sz w:val="22"/>
          <w:szCs w:val="22"/>
        </w:rPr>
        <w:t xml:space="preserve">Deepen AI and digital leadership through a formal AI in Healthcare CPD course, continued governance work and contribution to the CW digital training programme for 2026/27. </w:t>
      </w:r>
    </w:p>
    <w:p w14:paraId="3D9977A0" w14:textId="77777777" w:rsidR="000F5F80" w:rsidRPr="000F5F80" w:rsidRDefault="000F5F80" w:rsidP="008A0ED3">
      <w:pPr>
        <w:pStyle w:val="Default"/>
        <w:numPr>
          <w:ilvl w:val="0"/>
          <w:numId w:val="2"/>
        </w:numPr>
        <w:spacing w:line="360" w:lineRule="auto"/>
        <w:jc w:val="both"/>
        <w:rPr>
          <w:rFonts w:ascii="Arial" w:hAnsi="Arial" w:cs="Arial"/>
          <w:sz w:val="22"/>
          <w:szCs w:val="22"/>
        </w:rPr>
      </w:pPr>
      <w:r w:rsidRPr="000F5F80">
        <w:rPr>
          <w:rFonts w:ascii="Arial" w:hAnsi="Arial" w:cs="Arial"/>
          <w:sz w:val="22"/>
          <w:szCs w:val="22"/>
        </w:rPr>
        <w:t xml:space="preserve">Continue developing as a system leader, using the skills and relationships built in the first half to contribute more proactively across the CW system. </w:t>
      </w:r>
    </w:p>
    <w:p w14:paraId="438EFA82" w14:textId="77777777" w:rsidR="000F5F80" w:rsidRPr="000F5F80" w:rsidRDefault="000F5F80" w:rsidP="008A0ED3">
      <w:pPr>
        <w:pStyle w:val="Default"/>
        <w:spacing w:line="360" w:lineRule="auto"/>
        <w:jc w:val="both"/>
        <w:rPr>
          <w:rFonts w:ascii="Arial" w:hAnsi="Arial" w:cs="Arial"/>
          <w:sz w:val="22"/>
          <w:szCs w:val="22"/>
        </w:rPr>
      </w:pPr>
    </w:p>
    <w:p w14:paraId="7AF69B77" w14:textId="22BE4F3C" w:rsidR="00FB487C" w:rsidRPr="000F5F80" w:rsidRDefault="000F5F80" w:rsidP="008A0ED3">
      <w:pPr>
        <w:pStyle w:val="Default"/>
        <w:spacing w:line="360" w:lineRule="auto"/>
        <w:jc w:val="both"/>
        <w:rPr>
          <w:rFonts w:ascii="Arial" w:hAnsi="Arial" w:cs="Arial"/>
          <w:sz w:val="22"/>
          <w:szCs w:val="22"/>
        </w:rPr>
      </w:pPr>
      <w:r w:rsidRPr="000F5F80">
        <w:rPr>
          <w:rFonts w:ascii="Arial" w:hAnsi="Arial" w:cs="Arial"/>
          <w:sz w:val="22"/>
          <w:szCs w:val="22"/>
        </w:rPr>
        <w:t xml:space="preserve">In terms of support, I would welcome continued guidance from the Training Hub in brokering senior ICB connections as the Digital Capability Platform moves toward implementation, and advice on how best to raise the post-discharge pathway gap through appropriate commissioning channels. </w:t>
      </w:r>
    </w:p>
    <w:sectPr w:rsidR="00FB487C" w:rsidRPr="000F5F8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E2352" w14:textId="77777777" w:rsidR="00235A67" w:rsidRDefault="00235A67" w:rsidP="00FB487C">
      <w:pPr>
        <w:spacing w:after="0" w:line="240" w:lineRule="auto"/>
      </w:pPr>
      <w:r>
        <w:separator/>
      </w:r>
    </w:p>
  </w:endnote>
  <w:endnote w:type="continuationSeparator" w:id="0">
    <w:p w14:paraId="4EC21064" w14:textId="77777777" w:rsidR="00235A67" w:rsidRDefault="00235A67" w:rsidP="00FB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88CD" w14:textId="77777777" w:rsidR="00FB487C" w:rsidRDefault="00FB487C" w:rsidP="00FB487C">
    <w:pPr>
      <w:pStyle w:val="Footer"/>
      <w:jc w:val="center"/>
    </w:pPr>
  </w:p>
  <w:p w14:paraId="6E73EFB6" w14:textId="0DDCA3E4" w:rsidR="00FB487C" w:rsidRPr="000F5F80" w:rsidRDefault="000F5F80" w:rsidP="00FB487C">
    <w:pPr>
      <w:pStyle w:val="Footer"/>
      <w:jc w:val="center"/>
      <w:rPr>
        <w:rFonts w:ascii="Arial" w:hAnsi="Arial" w:cs="Arial"/>
      </w:rPr>
    </w:pPr>
    <w:r w:rsidRPr="000F5F80">
      <w:rPr>
        <w:rFonts w:ascii="Arial" w:hAnsi="Arial" w:cs="Arial"/>
      </w:rPr>
      <w:t xml:space="preserve">Dr Sing Khien </w:t>
    </w:r>
    <w:r w:rsidR="00564569">
      <w:rPr>
        <w:rFonts w:ascii="Arial" w:hAnsi="Arial" w:cs="Arial"/>
      </w:rPr>
      <w:t xml:space="preserve">Tiong </w:t>
    </w:r>
    <w:hyperlink r:id="rId1" w:history="1">
      <w:r w:rsidR="00FB487C" w:rsidRPr="000F5F80">
        <w:rPr>
          <w:rStyle w:val="Hyperlink"/>
          <w:rFonts w:ascii="Arial" w:hAnsi="Arial" w:cs="Arial"/>
        </w:rPr>
        <w:t>Aspiring Leaders Fellowships - Coventry &amp; Warwickshire</w:t>
      </w:r>
    </w:hyperlink>
    <w:r w:rsidR="00FB487C" w:rsidRPr="000F5F80">
      <w:rPr>
        <w:rFonts w:ascii="Arial" w:hAnsi="Arial" w:cs="Arial"/>
      </w:rPr>
      <w:t xml:space="preserve"> 2025-26</w:t>
    </w:r>
  </w:p>
  <w:p w14:paraId="6F4F55CC" w14:textId="77777777" w:rsidR="00FB487C" w:rsidRDefault="00FB4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7D09" w14:textId="77777777" w:rsidR="00235A67" w:rsidRDefault="00235A67" w:rsidP="00FB487C">
      <w:pPr>
        <w:spacing w:after="0" w:line="240" w:lineRule="auto"/>
      </w:pPr>
      <w:r>
        <w:separator/>
      </w:r>
    </w:p>
  </w:footnote>
  <w:footnote w:type="continuationSeparator" w:id="0">
    <w:p w14:paraId="25F4DE84" w14:textId="77777777" w:rsidR="00235A67" w:rsidRDefault="00235A67" w:rsidP="00FB4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F75D8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1D04B8"/>
    <w:multiLevelType w:val="hybridMultilevel"/>
    <w:tmpl w:val="C0F403B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17019018">
    <w:abstractNumId w:val="0"/>
  </w:num>
  <w:num w:numId="2" w16cid:durableId="1190604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08"/>
    <w:rsid w:val="000F540C"/>
    <w:rsid w:val="000F5F80"/>
    <w:rsid w:val="00117BBE"/>
    <w:rsid w:val="00162846"/>
    <w:rsid w:val="00235A67"/>
    <w:rsid w:val="00564569"/>
    <w:rsid w:val="00580AF8"/>
    <w:rsid w:val="005D2C07"/>
    <w:rsid w:val="00630608"/>
    <w:rsid w:val="008743C5"/>
    <w:rsid w:val="00883C57"/>
    <w:rsid w:val="008A0ED3"/>
    <w:rsid w:val="009B1731"/>
    <w:rsid w:val="00A04244"/>
    <w:rsid w:val="00AA51B8"/>
    <w:rsid w:val="00BF5B03"/>
    <w:rsid w:val="00D32189"/>
    <w:rsid w:val="00DF0B36"/>
    <w:rsid w:val="00F20361"/>
    <w:rsid w:val="00F544A3"/>
    <w:rsid w:val="00FB4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E67A"/>
  <w15:chartTrackingRefBased/>
  <w15:docId w15:val="{F89C80AE-45C9-48E1-9833-2AC8C25F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7B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BBE"/>
    <w:rPr>
      <w:rFonts w:ascii="Segoe UI" w:hAnsi="Segoe UI" w:cs="Segoe UI"/>
      <w:sz w:val="18"/>
      <w:szCs w:val="18"/>
    </w:rPr>
  </w:style>
  <w:style w:type="paragraph" w:styleId="Header">
    <w:name w:val="header"/>
    <w:basedOn w:val="Normal"/>
    <w:link w:val="HeaderChar"/>
    <w:uiPriority w:val="99"/>
    <w:unhideWhenUsed/>
    <w:rsid w:val="00FB4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87C"/>
  </w:style>
  <w:style w:type="character" w:styleId="Hyperlink">
    <w:name w:val="Hyperlink"/>
    <w:basedOn w:val="DefaultParagraphFont"/>
    <w:uiPriority w:val="99"/>
    <w:unhideWhenUsed/>
    <w:rsid w:val="00FB487C"/>
    <w:rPr>
      <w:color w:val="0563C1" w:themeColor="hyperlink"/>
      <w:u w:val="single"/>
    </w:rPr>
  </w:style>
  <w:style w:type="paragraph" w:customStyle="1" w:styleId="Default">
    <w:name w:val="Default"/>
    <w:rsid w:val="000F5F80"/>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4733">
      <w:bodyDiv w:val="1"/>
      <w:marLeft w:val="0"/>
      <w:marRight w:val="0"/>
      <w:marTop w:val="0"/>
      <w:marBottom w:val="0"/>
      <w:divBdr>
        <w:top w:val="none" w:sz="0" w:space="0" w:color="auto"/>
        <w:left w:val="none" w:sz="0" w:space="0" w:color="auto"/>
        <w:bottom w:val="none" w:sz="0" w:space="0" w:color="auto"/>
        <w:right w:val="none" w:sz="0" w:space="0" w:color="auto"/>
      </w:divBdr>
    </w:div>
    <w:div w:id="1168789038">
      <w:bodyDiv w:val="1"/>
      <w:marLeft w:val="0"/>
      <w:marRight w:val="0"/>
      <w:marTop w:val="0"/>
      <w:marBottom w:val="0"/>
      <w:divBdr>
        <w:top w:val="none" w:sz="0" w:space="0" w:color="auto"/>
        <w:left w:val="none" w:sz="0" w:space="0" w:color="auto"/>
        <w:bottom w:val="none" w:sz="0" w:space="0" w:color="auto"/>
        <w:right w:val="none" w:sz="0" w:space="0" w:color="auto"/>
      </w:divBdr>
    </w:div>
    <w:div w:id="131760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primary-care-workforce-role/general-practitio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5C109458EFF14E88D5BBFF95EB06F8" ma:contentTypeVersion="16" ma:contentTypeDescription="Create a new document." ma:contentTypeScope="" ma:versionID="631164ef9a655a5e47ff99f5ade7de7b">
  <xsd:schema xmlns:xsd="http://www.w3.org/2001/XMLSchema" xmlns:xs="http://www.w3.org/2001/XMLSchema" xmlns:p="http://schemas.microsoft.com/office/2006/metadata/properties" xmlns:ns3="c04701a7-4857-4035-af34-cee4aaa8e012" xmlns:ns4="5efd2d17-7250-4977-a514-03e6c44f8ea2" targetNamespace="http://schemas.microsoft.com/office/2006/metadata/properties" ma:root="true" ma:fieldsID="6baf3888ed41838107d79572b86871ae" ns3:_="" ns4:_="">
    <xsd:import namespace="c04701a7-4857-4035-af34-cee4aaa8e012"/>
    <xsd:import namespace="5efd2d17-7250-4977-a514-03e6c44f8e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701a7-4857-4035-af34-cee4aaa8e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fd2d17-7250-4977-a514-03e6c44f8e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04701a7-4857-4035-af34-cee4aaa8e0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271F09-4D56-4303-B8F9-0ADB006D2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701a7-4857-4035-af34-cee4aaa8e012"/>
    <ds:schemaRef ds:uri="5efd2d17-7250-4977-a514-03e6c44f8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725BE-EF18-4150-856D-C03C36457528}">
  <ds:schemaRefs>
    <ds:schemaRef ds:uri="http://schemas.microsoft.com/office/2006/metadata/properties"/>
    <ds:schemaRef ds:uri="http://schemas.microsoft.com/office/infopath/2007/PartnerControls"/>
    <ds:schemaRef ds:uri="c04701a7-4857-4035-af34-cee4aaa8e012"/>
  </ds:schemaRefs>
</ds:datastoreItem>
</file>

<file path=customXml/itemProps3.xml><?xml version="1.0" encoding="utf-8"?>
<ds:datastoreItem xmlns:ds="http://schemas.openxmlformats.org/officeDocument/2006/customXml" ds:itemID="{9DBA9952-7811-4DC5-9D18-56E3B75035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SWFT</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Dina (5PM) Trinity Court Surgery</dc:creator>
  <cp:keywords/>
  <dc:description/>
  <cp:lastModifiedBy>Joanna Halpin</cp:lastModifiedBy>
  <cp:revision>7</cp:revision>
  <dcterms:created xsi:type="dcterms:W3CDTF">2026-05-13T10:44:00Z</dcterms:created>
  <dcterms:modified xsi:type="dcterms:W3CDTF">2026-05-13T10:51:00Z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0x010100595C109458EFF14E88D5BBFF95EB06F8</vt:lpwstr>
  </property>
</Properties>
</file>